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80CC1" w:rsidRDefault="007E406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Quattrocento Sans" w:eastAsia="Quattrocento Sans" w:hAnsi="Quattrocento Sans" w:cs="Quattrocento Sans"/>
          <w:noProof/>
          <w:color w:val="000000"/>
          <w:sz w:val="18"/>
          <w:szCs w:val="18"/>
        </w:rPr>
        <w:drawing>
          <wp:inline distT="0" distB="0" distL="0" distR="0">
            <wp:extent cx="852513" cy="878466"/>
            <wp:effectExtent l="0" t="0" r="0" b="0"/>
            <wp:docPr id="2" name="image1.png" descr="En bild som visar karta, planet, Jorden, Värld&#10;&#10;AI-genererat innehåll kan vara felaktigt."/>
            <wp:cNvGraphicFramePr/>
            <a:graphic xmlns:a="http://schemas.openxmlformats.org/drawingml/2006/main">
              <a:graphicData uri="http://schemas.openxmlformats.org/drawingml/2006/picture">
                <pic:pic xmlns:pic="http://schemas.openxmlformats.org/drawingml/2006/picture">
                  <pic:nvPicPr>
                    <pic:cNvPr id="0" name="image1.png" descr="En bild som visar karta, planet, Jorden, Värld&#10;&#10;AI-genererat innehåll kan vara felaktigt."/>
                    <pic:cNvPicPr preferRelativeResize="0"/>
                  </pic:nvPicPr>
                  <pic:blipFill>
                    <a:blip r:embed="rId6"/>
                    <a:srcRect/>
                    <a:stretch>
                      <a:fillRect/>
                    </a:stretch>
                  </pic:blipFill>
                  <pic:spPr>
                    <a:xfrm>
                      <a:off x="0" y="0"/>
                      <a:ext cx="852513" cy="878466"/>
                    </a:xfrm>
                    <a:prstGeom prst="rect">
                      <a:avLst/>
                    </a:prstGeom>
                    <a:ln/>
                  </pic:spPr>
                </pic:pic>
              </a:graphicData>
            </a:graphic>
          </wp:inline>
        </w:drawing>
      </w:r>
      <w:r>
        <w:rPr>
          <w:b/>
          <w:bCs/>
          <w:color w:val="000000"/>
          <w:sz w:val="44"/>
          <w:szCs w:val="44"/>
        </w:rPr>
        <w:t xml:space="preserve"> </w:t>
      </w:r>
      <w:r>
        <w:rPr>
          <w:noProof/>
        </w:rPr>
        <mc:AlternateContent>
          <mc:Choice Requires="wpg">
            <w:drawing>
              <wp:anchor distT="0" distB="0" distL="114300" distR="114300" simplePos="0" relativeHeight="251658240" behindDoc="0" locked="0" layoutInCell="1" hidden="0" allowOverlap="1">
                <wp:simplePos x="0" y="0"/>
                <wp:positionH relativeFrom="column">
                  <wp:posOffset>861072</wp:posOffset>
                </wp:positionH>
                <wp:positionV relativeFrom="paragraph">
                  <wp:posOffset>-5550</wp:posOffset>
                </wp:positionV>
                <wp:extent cx="4760201" cy="824076"/>
                <wp:effectExtent l="0" t="0" r="0" b="0"/>
                <wp:wrapNone/>
                <wp:docPr id="1" name="Rektangel 1"/>
                <wp:cNvGraphicFramePr/>
                <a:graphic xmlns:a="http://schemas.openxmlformats.org/drawingml/2006/main">
                  <a:graphicData uri="http://schemas.microsoft.com/office/word/2010/wordprocessingShape">
                    <wps:wsp>
                      <wps:cNvSpPr/>
                      <wps:spPr>
                        <a:xfrm>
                          <a:off x="2970662" y="3372725"/>
                          <a:ext cx="4750676" cy="814551"/>
                        </a:xfrm>
                        <a:prstGeom prst="rect">
                          <a:avLst/>
                        </a:prstGeom>
                        <a:solidFill>
                          <a:schemeClr val="lt1"/>
                        </a:solidFill>
                        <a:ln w="9525" cap="flat" cmpd="sng">
                          <a:solidFill>
                            <a:srgbClr val="000000"/>
                          </a:solidFill>
                          <a:prstDash val="solid"/>
                          <a:round/>
                          <a:headEnd type="none" w="sm" len="sm"/>
                          <a:tailEnd type="none" w="sm" len="sm"/>
                        </a:ln>
                      </wps:spPr>
                      <wps:txbx>
                        <w:txbxContent>
                          <w:p w:rsidR="00480CC1" w:rsidRDefault="007E406B">
                            <w:pPr>
                              <w:spacing w:line="277" w:lineRule="auto"/>
                              <w:textDirection w:val="btLr"/>
                            </w:pPr>
                            <w:r>
                              <w:rPr>
                                <w:b/>
                                <w:color w:val="000000"/>
                                <w:sz w:val="42"/>
                              </w:rPr>
                              <w:t>Request for Member State Support for the Polar Connect Initiative</w:t>
                            </w:r>
                            <w:r>
                              <w:rPr>
                                <w:color w:val="000000"/>
                                <w:sz w:val="42"/>
                              </w:rPr>
                              <w:t>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861072</wp:posOffset>
                </wp:positionH>
                <wp:positionV relativeFrom="paragraph">
                  <wp:posOffset>-5550</wp:posOffset>
                </wp:positionV>
                <wp:extent cx="4760201" cy="824076"/>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760201" cy="824076"/>
                        </a:xfrm>
                        <a:prstGeom prst="rect"/>
                        <a:ln/>
                      </pic:spPr>
                    </pic:pic>
                  </a:graphicData>
                </a:graphic>
              </wp:anchor>
            </w:drawing>
          </mc:Fallback>
        </mc:AlternateContent>
      </w:r>
    </w:p>
    <w:p w:rsidR="00480CC1" w:rsidRDefault="007E406B">
      <w:pPr>
        <w:pBdr>
          <w:top w:val="nil"/>
          <w:left w:val="nil"/>
          <w:bottom w:val="nil"/>
          <w:right w:val="nil"/>
          <w:between w:val="nil"/>
        </w:pBdr>
        <w:spacing w:after="0" w:line="240" w:lineRule="auto"/>
        <w:ind w:left="5205" w:firstLine="1290"/>
        <w:rPr>
          <w:rFonts w:ascii="Quattrocento Sans" w:eastAsia="Quattrocento Sans" w:hAnsi="Quattrocento Sans" w:cs="Quattrocento Sans"/>
          <w:color w:val="000000"/>
          <w:sz w:val="18"/>
          <w:szCs w:val="18"/>
        </w:rPr>
      </w:pPr>
      <w:r>
        <w:rPr>
          <w:rFonts w:ascii="Arial" w:eastAsia="Arial" w:hAnsi="Arial" w:cs="Arial"/>
          <w:color w:val="000000"/>
          <w:sz w:val="20"/>
          <w:szCs w:val="20"/>
        </w:rPr>
        <w:t>Stockholm, 12 June 2026 </w:t>
      </w:r>
    </w:p>
    <w:p w:rsidR="00480CC1" w:rsidRDefault="00480CC1">
      <w:pPr>
        <w:pBdr>
          <w:top w:val="nil"/>
          <w:left w:val="nil"/>
          <w:bottom w:val="nil"/>
          <w:right w:val="nil"/>
          <w:between w:val="nil"/>
        </w:pBdr>
        <w:spacing w:after="0" w:line="240" w:lineRule="auto"/>
        <w:rPr>
          <w:rFonts w:ascii="Arial" w:eastAsia="Arial" w:hAnsi="Arial" w:cs="Arial"/>
          <w:sz w:val="20"/>
          <w:szCs w:val="20"/>
        </w:rPr>
      </w:pPr>
    </w:p>
    <w:p w:rsidR="00480CC1" w:rsidRDefault="007E406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0"/>
          <w:szCs w:val="20"/>
        </w:rPr>
        <w:t>Dear Colleagues, </w:t>
      </w:r>
    </w:p>
    <w:p w:rsidR="00480CC1" w:rsidRDefault="007E406B">
      <w:pPr>
        <w:pBdr>
          <w:top w:val="nil"/>
          <w:left w:val="nil"/>
          <w:bottom w:val="nil"/>
          <w:right w:val="nil"/>
          <w:between w:val="nil"/>
        </w:pBdr>
        <w:spacing w:before="280" w:after="280" w:line="240" w:lineRule="auto"/>
        <w:rPr>
          <w:rFonts w:ascii="Quattrocento Sans" w:eastAsia="Quattrocento Sans" w:hAnsi="Quattrocento Sans" w:cs="Quattrocento Sans"/>
          <w:color w:val="000000"/>
          <w:sz w:val="18"/>
          <w:szCs w:val="18"/>
        </w:rPr>
      </w:pPr>
      <w:r>
        <w:rPr>
          <w:rFonts w:ascii="Arial" w:eastAsia="Arial" w:hAnsi="Arial" w:cs="Arial"/>
          <w:color w:val="000000"/>
          <w:sz w:val="20"/>
          <w:szCs w:val="20"/>
        </w:rPr>
        <w:t>As we prepare the proposal for Polar Connect Step 3, through the application for Connecting Europe Facility Call 5, we respectfully invite your continued support for this strategically important European initiative. Building on the strong cooperation during Polar Connect Step 2, we are now entering a phase where coordinated European action is essential to strengthen the resilience, sovereignty, and security of our shared digital infrastructure. </w:t>
      </w:r>
    </w:p>
    <w:p w:rsidR="00480CC1" w:rsidRDefault="007E406B">
      <w:pPr>
        <w:pBdr>
          <w:top w:val="nil"/>
          <w:left w:val="nil"/>
          <w:bottom w:val="nil"/>
          <w:right w:val="nil"/>
          <w:between w:val="nil"/>
        </w:pBdr>
        <w:spacing w:before="280" w:after="280" w:line="240" w:lineRule="auto"/>
        <w:rPr>
          <w:rFonts w:ascii="Arial" w:eastAsia="Arial" w:hAnsi="Arial" w:cs="Arial"/>
          <w:sz w:val="20"/>
          <w:szCs w:val="20"/>
        </w:rPr>
      </w:pPr>
      <w:r>
        <w:rPr>
          <w:rFonts w:ascii="Arial" w:eastAsia="Arial" w:hAnsi="Arial" w:cs="Arial"/>
          <w:color w:val="000000"/>
          <w:sz w:val="20"/>
          <w:szCs w:val="20"/>
        </w:rPr>
        <w:t>Polar Connect Step 3 is the ne</w:t>
      </w:r>
      <w:r>
        <w:rPr>
          <w:rFonts w:ascii="Arial" w:eastAsia="Arial" w:hAnsi="Arial" w:cs="Arial"/>
          <w:sz w:val="20"/>
          <w:szCs w:val="20"/>
        </w:rPr>
        <w:t xml:space="preserve">xt stage in the continuous progression of the Polar Connect Initiative. It will advance efforts to realise the Polar Connect cable across the Central Arctic Ocean, focus on improving cross-border connectivity in Northern Europe, and provide greater network redundancy for the Nordic, Baltic and Central European regions. </w:t>
      </w:r>
    </w:p>
    <w:p w:rsidR="00480CC1" w:rsidRDefault="007E406B">
      <w:pPr>
        <w:pBdr>
          <w:top w:val="nil"/>
          <w:left w:val="nil"/>
          <w:bottom w:val="nil"/>
          <w:right w:val="nil"/>
          <w:between w:val="nil"/>
        </w:pBdr>
        <w:spacing w:before="280" w:after="280" w:line="240" w:lineRule="auto"/>
        <w:rPr>
          <w:rFonts w:ascii="Arial" w:eastAsia="Arial" w:hAnsi="Arial" w:cs="Arial"/>
          <w:color w:val="000000"/>
          <w:sz w:val="20"/>
          <w:szCs w:val="20"/>
        </w:rPr>
      </w:pPr>
      <w:r>
        <w:rPr>
          <w:rFonts w:ascii="Arial" w:eastAsia="Arial" w:hAnsi="Arial" w:cs="Arial"/>
          <w:sz w:val="20"/>
          <w:szCs w:val="20"/>
        </w:rPr>
        <w:t xml:space="preserve">It will </w:t>
      </w:r>
      <w:r>
        <w:rPr>
          <w:rFonts w:ascii="Arial" w:eastAsia="Arial" w:hAnsi="Arial" w:cs="Arial"/>
          <w:color w:val="000000"/>
          <w:sz w:val="20"/>
          <w:szCs w:val="20"/>
        </w:rPr>
        <w:t xml:space="preserve">directly advances Europe’s strategic interests by </w:t>
      </w:r>
      <w:r>
        <w:rPr>
          <w:rFonts w:ascii="Arial" w:eastAsia="Arial" w:hAnsi="Arial" w:cs="Arial"/>
          <w:b/>
          <w:bCs/>
          <w:color w:val="000000"/>
          <w:sz w:val="20"/>
          <w:szCs w:val="20"/>
        </w:rPr>
        <w:t>improving secure connectivity</w:t>
      </w:r>
      <w:r>
        <w:rPr>
          <w:rFonts w:ascii="Arial" w:eastAsia="Arial" w:hAnsi="Arial" w:cs="Arial"/>
          <w:color w:val="000000"/>
          <w:sz w:val="20"/>
          <w:szCs w:val="20"/>
        </w:rPr>
        <w:t>,</w:t>
      </w:r>
      <w:r>
        <w:rPr>
          <w:rFonts w:ascii="Arial" w:eastAsia="Arial" w:hAnsi="Arial" w:cs="Arial"/>
          <w:sz w:val="20"/>
          <w:szCs w:val="20"/>
        </w:rPr>
        <w:t xml:space="preserve"> </w:t>
      </w:r>
      <w:r>
        <w:rPr>
          <w:rFonts w:ascii="Arial" w:eastAsia="Arial" w:hAnsi="Arial" w:cs="Arial"/>
          <w:b/>
          <w:bCs/>
          <w:color w:val="000000"/>
          <w:sz w:val="20"/>
          <w:szCs w:val="20"/>
        </w:rPr>
        <w:t>enhancing redundancy</w:t>
      </w:r>
      <w:r>
        <w:rPr>
          <w:rFonts w:ascii="Arial" w:eastAsia="Arial" w:hAnsi="Arial" w:cs="Arial"/>
          <w:color w:val="000000"/>
          <w:sz w:val="20"/>
          <w:szCs w:val="20"/>
        </w:rPr>
        <w:t xml:space="preserve"> for Northern Europe, and ensuring that the </w:t>
      </w:r>
      <w:r>
        <w:rPr>
          <w:rFonts w:ascii="Arial" w:eastAsia="Arial" w:hAnsi="Arial" w:cs="Arial"/>
          <w:b/>
          <w:bCs/>
          <w:color w:val="000000"/>
          <w:sz w:val="20"/>
          <w:szCs w:val="20"/>
        </w:rPr>
        <w:t>Nordic region can serve as a stable, sovereign gateway linking Europe with North America and East Asia</w:t>
      </w:r>
      <w:r>
        <w:rPr>
          <w:rFonts w:ascii="Arial" w:eastAsia="Arial" w:hAnsi="Arial" w:cs="Arial"/>
          <w:color w:val="000000"/>
          <w:sz w:val="20"/>
          <w:szCs w:val="20"/>
        </w:rPr>
        <w:t xml:space="preserve">. </w:t>
      </w:r>
    </w:p>
    <w:p w:rsidR="00480CC1" w:rsidRDefault="007E406B">
      <w:pPr>
        <w:pBdr>
          <w:top w:val="nil"/>
          <w:left w:val="nil"/>
          <w:bottom w:val="nil"/>
          <w:right w:val="nil"/>
          <w:between w:val="nil"/>
        </w:pBdr>
        <w:spacing w:before="280" w:after="280" w:line="240" w:lineRule="auto"/>
        <w:rPr>
          <w:rFonts w:ascii="Quattrocento Sans" w:eastAsia="Quattrocento Sans" w:hAnsi="Quattrocento Sans" w:cs="Quattrocento Sans"/>
          <w:color w:val="000000"/>
          <w:sz w:val="18"/>
          <w:szCs w:val="18"/>
        </w:rPr>
      </w:pPr>
      <w:r>
        <w:rPr>
          <w:rFonts w:ascii="Arial" w:eastAsia="Arial" w:hAnsi="Arial" w:cs="Arial"/>
          <w:color w:val="000000"/>
          <w:sz w:val="20"/>
          <w:szCs w:val="20"/>
        </w:rPr>
        <w:t>The project is a key element of the </w:t>
      </w:r>
      <w:r>
        <w:rPr>
          <w:rFonts w:ascii="Arial" w:eastAsia="Arial" w:hAnsi="Arial" w:cs="Arial"/>
          <w:b/>
          <w:bCs/>
          <w:color w:val="000000"/>
          <w:sz w:val="20"/>
          <w:szCs w:val="20"/>
        </w:rPr>
        <w:t>EU’s Cable Project of European Interest </w:t>
      </w:r>
      <w:r>
        <w:rPr>
          <w:rFonts w:ascii="Arial" w:eastAsia="Arial" w:hAnsi="Arial" w:cs="Arial"/>
          <w:color w:val="000000"/>
          <w:sz w:val="20"/>
          <w:szCs w:val="20"/>
        </w:rPr>
        <w:t>(CPEI, Priority Area 2a), The Northern Route, and supports the long-term digital resilience of the EU and its neighbouring countries. </w:t>
      </w:r>
    </w:p>
    <w:p w:rsidR="00480CC1" w:rsidRDefault="007E406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The consortium brings together trusted European partners:</w:t>
      </w:r>
      <w:r>
        <w:rPr>
          <w:rFonts w:ascii="Arial" w:eastAsia="Arial" w:hAnsi="Arial" w:cs="Arial"/>
          <w:color w:val="000000"/>
          <w:sz w:val="20"/>
          <w:szCs w:val="20"/>
        </w:rPr>
        <w:t> </w:t>
      </w:r>
    </w:p>
    <w:p w:rsidR="00480CC1" w:rsidRDefault="007E406B">
      <w:pPr>
        <w:numPr>
          <w:ilvl w:val="0"/>
          <w:numId w:val="1"/>
        </w:numPr>
        <w:pBdr>
          <w:top w:val="nil"/>
          <w:left w:val="nil"/>
          <w:bottom w:val="nil"/>
          <w:right w:val="nil"/>
          <w:between w:val="nil"/>
        </w:pBdr>
        <w:spacing w:after="0" w:line="240" w:lineRule="auto"/>
        <w:ind w:left="1080" w:firstLine="0"/>
        <w:rPr>
          <w:rFonts w:ascii="Arial" w:eastAsia="Arial" w:hAnsi="Arial" w:cs="Arial"/>
          <w:color w:val="000000"/>
          <w:sz w:val="20"/>
          <w:szCs w:val="20"/>
        </w:rPr>
      </w:pPr>
      <w:r>
        <w:rPr>
          <w:rFonts w:ascii="Arial" w:eastAsia="Arial" w:hAnsi="Arial" w:cs="Arial"/>
          <w:color w:val="000000"/>
          <w:sz w:val="20"/>
          <w:szCs w:val="20"/>
        </w:rPr>
        <w:t>Coordinator: Swedish Research Council (SE) </w:t>
      </w:r>
    </w:p>
    <w:p w:rsidR="00480CC1" w:rsidRDefault="007E406B">
      <w:pPr>
        <w:numPr>
          <w:ilvl w:val="0"/>
          <w:numId w:val="2"/>
        </w:numPr>
        <w:pBdr>
          <w:top w:val="nil"/>
          <w:left w:val="nil"/>
          <w:bottom w:val="nil"/>
          <w:right w:val="nil"/>
          <w:between w:val="nil"/>
        </w:pBdr>
        <w:spacing w:after="0" w:line="240" w:lineRule="auto"/>
        <w:ind w:left="1080" w:firstLine="0"/>
        <w:rPr>
          <w:rFonts w:ascii="Arial" w:eastAsia="Arial" w:hAnsi="Arial" w:cs="Arial"/>
          <w:color w:val="000000"/>
          <w:sz w:val="20"/>
          <w:szCs w:val="20"/>
        </w:rPr>
      </w:pPr>
      <w:r>
        <w:rPr>
          <w:rFonts w:ascii="Arial" w:eastAsia="Arial" w:hAnsi="Arial" w:cs="Arial"/>
          <w:color w:val="000000"/>
          <w:sz w:val="20"/>
          <w:szCs w:val="20"/>
        </w:rPr>
        <w:t>Public partners: NORDUnet (DK), Swedish Polar Research Secretariat (SE), CSC (FI) </w:t>
      </w:r>
    </w:p>
    <w:p w:rsidR="00480CC1" w:rsidRDefault="007E406B">
      <w:pPr>
        <w:numPr>
          <w:ilvl w:val="0"/>
          <w:numId w:val="3"/>
        </w:numPr>
        <w:pBdr>
          <w:top w:val="nil"/>
          <w:left w:val="nil"/>
          <w:bottom w:val="nil"/>
          <w:right w:val="nil"/>
          <w:between w:val="nil"/>
        </w:pBdr>
        <w:spacing w:after="0" w:line="240" w:lineRule="auto"/>
        <w:ind w:left="1080" w:firstLine="0"/>
      </w:pPr>
      <w:r>
        <w:rPr>
          <w:rFonts w:ascii="Arial" w:eastAsia="Arial" w:hAnsi="Arial" w:cs="Arial"/>
          <w:color w:val="000000"/>
          <w:sz w:val="20"/>
          <w:szCs w:val="20"/>
        </w:rPr>
        <w:t>Private partners: GlobalConnect  </w:t>
      </w:r>
    </w:p>
    <w:p w:rsidR="00480CC1" w:rsidRDefault="00480CC1">
      <w:pPr>
        <w:pBdr>
          <w:top w:val="nil"/>
          <w:left w:val="nil"/>
          <w:bottom w:val="nil"/>
          <w:right w:val="nil"/>
          <w:between w:val="nil"/>
        </w:pBdr>
        <w:spacing w:after="0" w:line="240" w:lineRule="auto"/>
        <w:ind w:left="1080"/>
        <w:rPr>
          <w:rFonts w:ascii="Verdana" w:eastAsia="Verdana" w:hAnsi="Verdana" w:cs="Verdana"/>
          <w:color w:val="000000"/>
          <w:sz w:val="18"/>
          <w:szCs w:val="18"/>
        </w:rPr>
      </w:pPr>
    </w:p>
    <w:p w:rsidR="00480CC1" w:rsidRDefault="007E406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0"/>
          <w:szCs w:val="20"/>
        </w:rPr>
        <w:t xml:space="preserve">The Polar Connect Initiative also collaborates with other national </w:t>
      </w:r>
      <w:r>
        <w:rPr>
          <w:rFonts w:ascii="Arial" w:eastAsia="Arial" w:hAnsi="Arial" w:cs="Arial"/>
          <w:sz w:val="20"/>
          <w:szCs w:val="20"/>
        </w:rPr>
        <w:t>and international organisations such</w:t>
      </w:r>
      <w:r>
        <w:rPr>
          <w:rFonts w:ascii="Arial" w:eastAsia="Arial" w:hAnsi="Arial" w:cs="Arial"/>
          <w:color w:val="000000"/>
          <w:sz w:val="20"/>
          <w:szCs w:val="20"/>
        </w:rPr>
        <w:t xml:space="preserve"> </w:t>
      </w:r>
      <w:r>
        <w:rPr>
          <w:rFonts w:ascii="Arial" w:eastAsia="Arial" w:hAnsi="Arial" w:cs="Arial"/>
          <w:sz w:val="20"/>
          <w:szCs w:val="20"/>
        </w:rPr>
        <w:t>as</w:t>
      </w:r>
      <w:r>
        <w:rPr>
          <w:rFonts w:ascii="Arial" w:eastAsia="Arial" w:hAnsi="Arial" w:cs="Arial"/>
          <w:color w:val="000000"/>
          <w:sz w:val="20"/>
          <w:szCs w:val="20"/>
        </w:rPr>
        <w:t xml:space="preserve"> GÉANT Association (NL), Sikt (NO), National Institute of Informatics (JP), the Alaska Industrial Development and Export Authority (AIDEA), and the Hokkaido Government.  </w:t>
      </w:r>
    </w:p>
    <w:p w:rsidR="00480CC1" w:rsidRDefault="007E406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0"/>
          <w:szCs w:val="20"/>
        </w:rPr>
        <w:t> </w:t>
      </w:r>
    </w:p>
    <w:p w:rsidR="00480CC1" w:rsidRDefault="007E406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color w:val="000000"/>
          <w:sz w:val="20"/>
          <w:szCs w:val="20"/>
        </w:rPr>
        <w:t>The project builds on a proven governance model. The Swedish Research Council has successfully coordinated the North Pole Fiber, Polar Connect Step 1, and Polar Connect Step 2 projects, all of which received exceptionally high evaluations from the European Commission. The same robust management and quality control structures will be applied in Polar Connect Step 3. </w:t>
      </w:r>
    </w:p>
    <w:p w:rsidR="00480CC1" w:rsidRDefault="007E406B">
      <w:pPr>
        <w:pBdr>
          <w:top w:val="nil"/>
          <w:left w:val="nil"/>
          <w:bottom w:val="nil"/>
          <w:right w:val="nil"/>
          <w:between w:val="nil"/>
        </w:pBdr>
        <w:spacing w:before="280" w:after="280" w:line="240" w:lineRule="auto"/>
        <w:rPr>
          <w:rFonts w:ascii="Arial" w:eastAsia="Arial" w:hAnsi="Arial" w:cs="Arial"/>
          <w:color w:val="000000"/>
          <w:sz w:val="20"/>
          <w:szCs w:val="20"/>
        </w:rPr>
      </w:pPr>
      <w:r>
        <w:rPr>
          <w:rFonts w:ascii="Arial" w:eastAsia="Arial" w:hAnsi="Arial" w:cs="Arial"/>
          <w:b/>
          <w:bCs/>
          <w:color w:val="000000"/>
          <w:sz w:val="20"/>
          <w:szCs w:val="20"/>
        </w:rPr>
        <w:t>We kindly request your continued support for Polar Connect Step 3,</w:t>
      </w:r>
      <w:r>
        <w:rPr>
          <w:rFonts w:ascii="Arial" w:eastAsia="Arial" w:hAnsi="Arial" w:cs="Arial"/>
          <w:color w:val="000000"/>
          <w:sz w:val="20"/>
          <w:szCs w:val="20"/>
        </w:rPr>
        <w:t> ensuring that Europe and its northern neighbours can jointly secure a resilient, futureproof digital corridor that strengthens our collective sovereignty and connectivity.  </w:t>
      </w:r>
    </w:p>
    <w:p w:rsidR="00480CC1" w:rsidRDefault="007E406B">
      <w:pPr>
        <w:pBdr>
          <w:top w:val="nil"/>
          <w:left w:val="nil"/>
          <w:bottom w:val="nil"/>
          <w:right w:val="nil"/>
          <w:between w:val="nil"/>
        </w:pBdr>
        <w:spacing w:before="280" w:after="280" w:line="240" w:lineRule="auto"/>
        <w:rPr>
          <w:rFonts w:ascii="Quattrocento Sans" w:eastAsia="Quattrocento Sans" w:hAnsi="Quattrocento Sans" w:cs="Quattrocento Sans"/>
          <w:color w:val="000000"/>
          <w:sz w:val="18"/>
          <w:szCs w:val="18"/>
        </w:rPr>
      </w:pPr>
      <w:r>
        <w:rPr>
          <w:rFonts w:ascii="Arial" w:eastAsia="Arial" w:hAnsi="Arial" w:cs="Arial"/>
          <w:color w:val="000000"/>
          <w:sz w:val="20"/>
          <w:szCs w:val="20"/>
        </w:rPr>
        <w:t xml:space="preserve">As the </w:t>
      </w:r>
      <w:r>
        <w:rPr>
          <w:rFonts w:ascii="Arial" w:eastAsia="Arial" w:hAnsi="Arial" w:cs="Arial"/>
          <w:sz w:val="20"/>
          <w:szCs w:val="20"/>
        </w:rPr>
        <w:t xml:space="preserve">Connecting Europe Facility Call 5’s deadline is scheduled on June 30, receiving your written support ahead of that deadline would be greatly appreciated. </w:t>
      </w:r>
    </w:p>
    <w:p w:rsidR="00480CC1" w:rsidRDefault="007E406B">
      <w:pPr>
        <w:pBdr>
          <w:top w:val="nil"/>
          <w:left w:val="nil"/>
          <w:bottom w:val="nil"/>
          <w:right w:val="nil"/>
          <w:between w:val="nil"/>
        </w:pBdr>
        <w:spacing w:before="280" w:after="280" w:line="240" w:lineRule="auto"/>
        <w:rPr>
          <w:rFonts w:ascii="Quattrocento Sans" w:eastAsia="Quattrocento Sans" w:hAnsi="Quattrocento Sans" w:cs="Quattrocento Sans"/>
          <w:color w:val="000000"/>
          <w:sz w:val="18"/>
          <w:szCs w:val="18"/>
        </w:rPr>
      </w:pPr>
      <w:r>
        <w:rPr>
          <w:rFonts w:ascii="Arial" w:eastAsia="Arial" w:hAnsi="Arial" w:cs="Arial"/>
          <w:color w:val="000000"/>
          <w:sz w:val="20"/>
          <w:szCs w:val="20"/>
        </w:rPr>
        <w:t>We remain at your disposal for further information and would welcome continued dialogue as the proposal develops. </w:t>
      </w:r>
    </w:p>
    <w:p w:rsidR="00480CC1" w:rsidRDefault="007E406B">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Best regards,  </w:t>
      </w:r>
    </w:p>
    <w:p w:rsidR="00480CC1" w:rsidRDefault="00480CC1">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rsidR="00480CC1" w:rsidRDefault="007E406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The Polar Connect Initiative </w:t>
      </w:r>
      <w:r>
        <w:rPr>
          <w:rFonts w:ascii="Arial" w:eastAsia="Arial" w:hAnsi="Arial" w:cs="Arial"/>
          <w:color w:val="000000"/>
          <w:sz w:val="20"/>
          <w:szCs w:val="20"/>
        </w:rPr>
        <w:t> </w:t>
      </w:r>
    </w:p>
    <w:sectPr w:rsidR="00480CC1">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C72690-7E28-4B8D-9752-C07403D75740}"/>
  </w:font>
  <w:font w:name="Aptos">
    <w:charset w:val="00"/>
    <w:family w:val="swiss"/>
    <w:pitch w:val="variable"/>
    <w:sig w:usb0="20000287" w:usb1="00000003" w:usb2="00000000" w:usb3="00000000" w:csb0="0000019F" w:csb1="00000000"/>
    <w:embedRegular r:id="rId2" w:fontKey="{7FBAF40E-C092-4EF5-8A95-94CA5E64810A}"/>
    <w:embedBold r:id="rId3" w:fontKey="{B9463FDD-9363-4AC5-80F7-13726A65B300}"/>
    <w:embedItalic r:id="rId4" w:fontKey="{9ED5D633-FB0A-476D-8B5D-92FBBC92B6FF}"/>
  </w:font>
  <w:font w:name="Play">
    <w:charset w:val="00"/>
    <w:family w:val="auto"/>
    <w:pitch w:val="default"/>
    <w:embedRegular r:id="rId5" w:fontKey="{EE102098-C125-4AA7-84CC-A8104ABB96D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6" w:fontKey="{E8DE6D31-3AC1-4816-9561-053FA76FF3AA}"/>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11D8861B-A246-4469-A437-521337F42031}"/>
  </w:font>
  <w:font w:name="Calibri">
    <w:panose1 w:val="020F0502020204030204"/>
    <w:charset w:val="00"/>
    <w:family w:val="swiss"/>
    <w:pitch w:val="variable"/>
    <w:sig w:usb0="E4002EFF" w:usb1="C200247B" w:usb2="00000009" w:usb3="00000000" w:csb0="000001FF" w:csb1="00000000"/>
    <w:embedRegular r:id="rId8" w:fontKey="{3EABAD9F-997C-4F6A-B33A-C30246A5155E}"/>
  </w:font>
  <w:font w:name="Cambria">
    <w:panose1 w:val="02040503050406030204"/>
    <w:charset w:val="00"/>
    <w:family w:val="roman"/>
    <w:pitch w:val="variable"/>
    <w:sig w:usb0="E00006FF" w:usb1="420024FF" w:usb2="02000000" w:usb3="00000000" w:csb0="0000019F" w:csb1="00000000"/>
    <w:embedRegular r:id="rId9" w:fontKey="{90360760-B3A6-46F2-A8B8-752293EF16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385E"/>
    <w:multiLevelType w:val="multilevel"/>
    <w:tmpl w:val="7F1838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EE17CDA"/>
    <w:multiLevelType w:val="multilevel"/>
    <w:tmpl w:val="14F66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0EB436D"/>
    <w:multiLevelType w:val="multilevel"/>
    <w:tmpl w:val="CFCA17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33711411">
    <w:abstractNumId w:val="0"/>
  </w:num>
  <w:num w:numId="2" w16cid:durableId="862859614">
    <w:abstractNumId w:val="1"/>
  </w:num>
  <w:num w:numId="3" w16cid:durableId="2044135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CC1"/>
    <w:rsid w:val="00480CC1"/>
    <w:rsid w:val="007E406B"/>
    <w:rsid w:val="009D14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B7F33-D2F8-495E-ACDA-EB9EFFB27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sv-S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Rubri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Rubri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Rubrik4">
    <w:name w:val="heading 4"/>
    <w:basedOn w:val="Normal"/>
    <w:next w:val="Normal"/>
    <w:uiPriority w:val="9"/>
    <w:semiHidden/>
    <w:unhideWhenUsed/>
    <w:qFormat/>
    <w:pPr>
      <w:keepNext/>
      <w:keepLines/>
      <w:spacing w:before="80" w:after="40"/>
      <w:outlineLvl w:val="3"/>
    </w:pPr>
    <w:rPr>
      <w:i/>
      <w:iCs/>
      <w:color w:val="0F4761"/>
    </w:rPr>
  </w:style>
  <w:style w:type="paragraph" w:styleId="Rubrik5">
    <w:name w:val="heading 5"/>
    <w:basedOn w:val="Normal"/>
    <w:next w:val="Normal"/>
    <w:uiPriority w:val="9"/>
    <w:semiHidden/>
    <w:unhideWhenUsed/>
    <w:qFormat/>
    <w:pPr>
      <w:keepNext/>
      <w:keepLines/>
      <w:spacing w:before="80" w:after="40"/>
      <w:outlineLvl w:val="4"/>
    </w:pPr>
    <w:rPr>
      <w:color w:val="0F4761"/>
    </w:rPr>
  </w:style>
  <w:style w:type="paragraph" w:styleId="Rubrik6">
    <w:name w:val="heading 6"/>
    <w:basedOn w:val="Normal"/>
    <w:next w:val="Normal"/>
    <w:uiPriority w:val="9"/>
    <w:semiHidden/>
    <w:unhideWhenUsed/>
    <w:qFormat/>
    <w:pPr>
      <w:keepNext/>
      <w:keepLines/>
      <w:spacing w:before="40" w:after="0"/>
      <w:outlineLvl w:val="5"/>
    </w:pPr>
    <w:rPr>
      <w:i/>
      <w:iCs/>
      <w:color w:val="59595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spacing w:after="80" w:line="240" w:lineRule="auto"/>
    </w:pPr>
    <w:rPr>
      <w:rFonts w:ascii="Play" w:eastAsia="Play" w:hAnsi="Play" w:cs="Play"/>
      <w:sz w:val="56"/>
      <w:szCs w:val="56"/>
    </w:rPr>
  </w:style>
  <w:style w:type="paragraph" w:styleId="Underrubrik">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DSkEY0sqZoppRgmIbDDO93eX+g==">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437</Words>
  <Characters>2317</Characters>
  <Application>Microsoft Office Word</Application>
  <DocSecurity>4</DocSecurity>
  <Lines>19</Lines>
  <Paragraphs>5</Paragraphs>
  <ScaleCrop>false</ScaleCrop>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Malin Amnefelt</dc:creator>
  <cp:lastModifiedBy>Malin Amnefelt</cp:lastModifiedBy>
  <cp:revision>2</cp:revision>
  <dcterms:created xsi:type="dcterms:W3CDTF">2026-06-15T11:34:00Z</dcterms:created>
  <dcterms:modified xsi:type="dcterms:W3CDTF">2026-06-15T11:34:00Z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2026-06-12T07:37:19Z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beb73af0-54c3-4c95-886a-3e6de3a76471</vt:lpwstr>
  </property>
  <property fmtid="{D5CDD505-2E9C-101B-9397-08002B2CF9AE}" pid="7" name="MSIP_Label_defa4170-0d19-0005-0004-bc88714345d2_ActionId">
    <vt:lpwstr>c3b1f73a-4736-4f60-a34f-a7cd03258956</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ies>
</file>